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90" w:lineRule="exact"/>
        <w:ind w:left="0" w:leftChars="0" w:right="0" w:rightChars="0"/>
        <w:jc w:val="both"/>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第九讲</w:t>
      </w:r>
      <w:r>
        <w:rPr>
          <w:rFonts w:hint="eastAsia" w:ascii="方正小标宋简体" w:hAnsi="方正小标宋简体" w:eastAsia="方正小标宋简体" w:cs="方正小标宋简体"/>
          <w:b w:val="0"/>
          <w:bCs/>
          <w:sz w:val="44"/>
          <w:szCs w:val="44"/>
          <w:lang w:val="en-US" w:eastAsia="zh-CN"/>
        </w:rPr>
        <w:t xml:space="preserve">  </w:t>
      </w:r>
      <w:r>
        <w:rPr>
          <w:rFonts w:hint="eastAsia" w:ascii="方正小标宋简体" w:hAnsi="方正小标宋简体" w:eastAsia="方正小标宋简体" w:cs="方正小标宋简体"/>
          <w:b w:val="0"/>
          <w:bCs/>
          <w:sz w:val="44"/>
          <w:szCs w:val="44"/>
        </w:rPr>
        <w:t>构建“防火墙”筑牢实验动物研究</w:t>
      </w:r>
    </w:p>
    <w:p>
      <w:pPr>
        <w:keepNext w:val="0"/>
        <w:keepLines w:val="0"/>
        <w:pageBreakBefore w:val="0"/>
        <w:widowControl w:val="0"/>
        <w:kinsoku/>
        <w:wordWrap/>
        <w:overflowPunct/>
        <w:topLinePunct w:val="0"/>
        <w:bidi w:val="0"/>
        <w:snapToGrid/>
        <w:spacing w:line="590" w:lineRule="exact"/>
        <w:ind w:left="0" w:leftChars="0" w:right="0" w:rightChars="0"/>
        <w:jc w:val="both"/>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 xml:space="preserve">              </w:t>
      </w:r>
      <w:r>
        <w:rPr>
          <w:rFonts w:hint="eastAsia" w:ascii="方正小标宋简体" w:hAnsi="方正小标宋简体" w:eastAsia="方正小标宋简体" w:cs="方正小标宋简体"/>
          <w:b w:val="0"/>
          <w:bCs/>
          <w:sz w:val="44"/>
          <w:szCs w:val="44"/>
        </w:rPr>
        <w:t>领域生物安全基石</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lang w:val="en-US" w:eastAsia="zh-CN"/>
        </w:rPr>
        <w:t xml:space="preserve">                  </w:t>
      </w:r>
      <w:r>
        <w:rPr>
          <w:rFonts w:hint="eastAsia" w:ascii="仿宋_GB2312" w:hAnsi="仿宋_GB2312" w:eastAsia="仿宋_GB2312" w:cs="仿宋_GB2312"/>
          <w:sz w:val="32"/>
          <w:szCs w:val="32"/>
          <w:lang w:val="en-US" w:eastAsia="zh-CN"/>
        </w:rPr>
        <w:t xml:space="preserve">福建省疾病预防控制中心    </w:t>
      </w:r>
      <w:bookmarkStart w:id="0" w:name="_GoBack"/>
      <w:bookmarkEnd w:id="0"/>
      <w:r>
        <w:rPr>
          <w:rFonts w:hint="eastAsia" w:ascii="仿宋_GB2312" w:hAnsi="仿宋_GB2312" w:eastAsia="仿宋_GB2312" w:cs="仿宋_GB2312"/>
          <w:sz w:val="32"/>
          <w:szCs w:val="32"/>
          <w:lang w:val="en-US" w:eastAsia="zh-CN"/>
        </w:rPr>
        <w:t>翁顺太</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1前言</w:t>
      </w:r>
    </w:p>
    <w:p>
      <w:pPr>
        <w:keepNext w:val="0"/>
        <w:keepLines w:val="0"/>
        <w:pageBreakBefore w:val="0"/>
        <w:widowControl w:val="0"/>
        <w:kinsoku/>
        <w:wordWrap/>
        <w:overflowPunct/>
        <w:topLinePunct w:val="0"/>
        <w:bidi w:val="0"/>
        <w:snapToGrid/>
        <w:spacing w:line="590" w:lineRule="exact"/>
        <w:ind w:left="0" w:leftChars="0"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生物安全法》已于2021年4月15日施行。它的颁布和实施是一个里程碑事件，标志着我国生物安全进入依法治理的新阶段。对防范和应对生物安全风险，保障人民生命健康，保护生物资源和生态环境，促进生物技术健康发展，实现人与自然和谐共生意义重大。</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我国“国民经济和社会发展第十四个五年规划和2035年远景目标纲要”提出，全面推进健康中国建设。要实现这一发展目标，生命科学领域的研究必不可少。</w:t>
      </w:r>
      <w:r>
        <w:rPr>
          <w:rFonts w:hint="eastAsia" w:ascii="仿宋_GB2312" w:hAnsi="仿宋_GB2312" w:eastAsia="仿宋_GB2312" w:cs="仿宋_GB2312"/>
          <w:color w:val="000000"/>
          <w:sz w:val="32"/>
          <w:szCs w:val="32"/>
        </w:rPr>
        <w:t>作为生命科学研究的基础学科和重要的支撑条件，实验动物学科发展与应用研究普遍受到各国政府的重视和科学家的关注。</w:t>
      </w:r>
    </w:p>
    <w:p>
      <w:pPr>
        <w:keepNext w:val="0"/>
        <w:keepLines w:val="0"/>
        <w:pageBreakBefore w:val="0"/>
        <w:widowControl w:val="0"/>
        <w:kinsoku/>
        <w:wordWrap/>
        <w:overflowPunct/>
        <w:topLinePunct w:val="0"/>
        <w:bidi w:val="0"/>
        <w:snapToGrid/>
        <w:spacing w:line="590" w:lineRule="exact"/>
        <w:ind w:left="0" w:leftChars="0" w:right="0" w:rightChars="0" w:firstLine="42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物安全法》第四十七条对实验动物领域生物安全作了专门规定“病原微生物实验室应当采取措施，加强对实验动物的管理，防止实验动物逃逸，对使用后的实验动物按照国家规定进行无害化处理，实现实验动物可追溯。禁止将使用后的实验动物流入市场。” 可见，实验动物领域生物安全在生物安全领域中占据重要地位。</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2实验动物</w:t>
      </w:r>
      <w:r>
        <w:rPr>
          <w:rFonts w:hint="eastAsia" w:ascii="仿宋_GB2312" w:hAnsi="仿宋_GB2312" w:eastAsia="仿宋_GB2312" w:cs="仿宋_GB2312"/>
          <w:b/>
          <w:color w:val="000000"/>
          <w:sz w:val="32"/>
          <w:szCs w:val="32"/>
        </w:rPr>
        <w:t>在生物医学发展中的重要作用</w:t>
      </w:r>
    </w:p>
    <w:p>
      <w:pPr>
        <w:keepNext w:val="0"/>
        <w:keepLines w:val="0"/>
        <w:pageBreakBefore w:val="0"/>
        <w:widowControl w:val="0"/>
        <w:kinsoku/>
        <w:wordWrap/>
        <w:overflowPunct/>
        <w:topLinePunct w:val="0"/>
        <w:bidi w:val="0"/>
        <w:snapToGrid/>
        <w:spacing w:line="590" w:lineRule="exact"/>
        <w:ind w:left="0" w:leftChars="0" w:right="0" w:rightChars="0" w:firstLine="42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实验动物是指经人工培育，对其携带的微生物实行控制，遗传背景明确、来源清楚，用于科学实验、药品、生物制品的生产和检定及其它科学实验的动物。</w:t>
      </w:r>
    </w:p>
    <w:p>
      <w:pPr>
        <w:keepNext w:val="0"/>
        <w:keepLines w:val="0"/>
        <w:pageBreakBefore w:val="0"/>
        <w:widowControl w:val="0"/>
        <w:kinsoku/>
        <w:wordWrap/>
        <w:overflowPunct/>
        <w:topLinePunct w:val="0"/>
        <w:bidi w:val="0"/>
        <w:snapToGrid/>
        <w:spacing w:line="590" w:lineRule="exact"/>
        <w:ind w:left="0" w:leftChars="0" w:right="0" w:rightChars="0" w:firstLine="42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color w:val="000000"/>
          <w:sz w:val="32"/>
          <w:szCs w:val="32"/>
        </w:rPr>
        <w:t>在生物医学研究领域，包括</w:t>
      </w:r>
      <w:r>
        <w:rPr>
          <w:rFonts w:hint="eastAsia" w:ascii="仿宋_GB2312" w:hAnsi="仿宋_GB2312" w:eastAsia="仿宋_GB2312" w:cs="仿宋_GB2312"/>
          <w:sz w:val="32"/>
          <w:szCs w:val="32"/>
        </w:rPr>
        <w:t>疫苗研发、新药评价、人类疾病动物模型建立等在内的研究</w:t>
      </w:r>
      <w:r>
        <w:rPr>
          <w:rFonts w:hint="eastAsia" w:ascii="仿宋_GB2312" w:hAnsi="仿宋_GB2312" w:eastAsia="仿宋_GB2312" w:cs="仿宋_GB2312"/>
          <w:color w:val="000000"/>
          <w:sz w:val="32"/>
          <w:szCs w:val="32"/>
        </w:rPr>
        <w:t>，必须借助实验动物来探索生命的起源，揭示遗传的奥秘，研究各种疾病的发生发展机制与衰老的机理，达到保障生命健康的目的，被誉为“活的精密仪器”。生物医学研究领域获公认的</w:t>
      </w:r>
      <w:r>
        <w:rPr>
          <w:rFonts w:hint="eastAsia" w:ascii="仿宋_GB2312" w:hAnsi="仿宋_GB2312" w:eastAsia="仿宋_GB2312" w:cs="仿宋_GB2312"/>
          <w:sz w:val="32"/>
          <w:szCs w:val="32"/>
        </w:rPr>
        <w:t>AEIR</w:t>
      </w:r>
      <w:r>
        <w:rPr>
          <w:rFonts w:hint="eastAsia" w:ascii="仿宋_GB2312" w:hAnsi="仿宋_GB2312" w:eastAsia="仿宋_GB2312" w:cs="仿宋_GB2312"/>
          <w:color w:val="000000"/>
          <w:sz w:val="32"/>
          <w:szCs w:val="32"/>
        </w:rPr>
        <w:t>四个基本要素，包括实验动物（</w:t>
      </w:r>
      <w:r>
        <w:rPr>
          <w:rFonts w:hint="eastAsia" w:ascii="仿宋_GB2312" w:hAnsi="仿宋_GB2312" w:eastAsia="仿宋_GB2312" w:cs="仿宋_GB2312"/>
          <w:sz w:val="32"/>
          <w:szCs w:val="32"/>
        </w:rPr>
        <w:t>Animal</w:t>
      </w:r>
      <w:r>
        <w:rPr>
          <w:rFonts w:hint="eastAsia" w:ascii="仿宋_GB2312" w:hAnsi="仿宋_GB2312" w:eastAsia="仿宋_GB2312" w:cs="仿宋_GB2312"/>
          <w:color w:val="000000"/>
          <w:sz w:val="32"/>
          <w:szCs w:val="32"/>
        </w:rPr>
        <w:t>）、仪器（</w:t>
      </w:r>
      <w:r>
        <w:rPr>
          <w:rFonts w:hint="eastAsia" w:ascii="仿宋_GB2312" w:hAnsi="仿宋_GB2312" w:eastAsia="仿宋_GB2312" w:cs="仿宋_GB2312"/>
          <w:sz w:val="32"/>
          <w:szCs w:val="32"/>
        </w:rPr>
        <w:t>Equipment</w:t>
      </w:r>
      <w:r>
        <w:rPr>
          <w:rFonts w:hint="eastAsia" w:ascii="仿宋_GB2312" w:hAnsi="仿宋_GB2312" w:eastAsia="仿宋_GB2312" w:cs="仿宋_GB2312"/>
          <w:color w:val="000000"/>
          <w:sz w:val="32"/>
          <w:szCs w:val="32"/>
        </w:rPr>
        <w:t>）、信息（</w:t>
      </w:r>
      <w:r>
        <w:rPr>
          <w:rFonts w:hint="eastAsia" w:ascii="仿宋_GB2312" w:hAnsi="仿宋_GB2312" w:eastAsia="仿宋_GB2312" w:cs="仿宋_GB2312"/>
          <w:sz w:val="32"/>
          <w:szCs w:val="32"/>
        </w:rPr>
        <w:t>Information</w:t>
      </w:r>
      <w:r>
        <w:rPr>
          <w:rFonts w:hint="eastAsia" w:ascii="仿宋_GB2312" w:hAnsi="仿宋_GB2312" w:eastAsia="仿宋_GB2312" w:cs="仿宋_GB2312"/>
          <w:color w:val="000000"/>
          <w:sz w:val="32"/>
          <w:szCs w:val="32"/>
        </w:rPr>
        <w:t>）、试剂（</w:t>
      </w:r>
      <w:r>
        <w:rPr>
          <w:rFonts w:hint="eastAsia" w:ascii="仿宋_GB2312" w:hAnsi="仿宋_GB2312" w:eastAsia="仿宋_GB2312" w:cs="仿宋_GB2312"/>
          <w:sz w:val="32"/>
          <w:szCs w:val="32"/>
        </w:rPr>
        <w:t>Reagent</w:t>
      </w:r>
      <w:r>
        <w:rPr>
          <w:rFonts w:hint="eastAsia" w:ascii="仿宋_GB2312" w:hAnsi="仿宋_GB2312" w:eastAsia="仿宋_GB2312" w:cs="仿宋_GB2312"/>
          <w:color w:val="000000"/>
          <w:sz w:val="32"/>
          <w:szCs w:val="32"/>
        </w:rPr>
        <w:t>），实验动物首当其冲。</w:t>
      </w:r>
    </w:p>
    <w:p>
      <w:pPr>
        <w:keepNext w:val="0"/>
        <w:keepLines w:val="0"/>
        <w:pageBreakBefore w:val="0"/>
        <w:widowControl w:val="0"/>
        <w:kinsoku/>
        <w:wordWrap/>
        <w:overflowPunct/>
        <w:topLinePunct w:val="0"/>
        <w:bidi w:val="0"/>
        <w:snapToGrid/>
        <w:spacing w:line="590" w:lineRule="exact"/>
        <w:ind w:right="0" w:right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回顾生物医学发展的历程可以发现，许多具有里程碑式的研究成果，往往与实验动物或动物实验有着千丝万缕的关系。</w:t>
      </w:r>
    </w:p>
    <w:p>
      <w:pPr>
        <w:keepNext w:val="0"/>
        <w:keepLines w:val="0"/>
        <w:pageBreakBefore w:val="0"/>
        <w:widowControl w:val="0"/>
        <w:kinsoku/>
        <w:wordWrap/>
        <w:overflowPunct/>
        <w:topLinePunct w:val="0"/>
        <w:bidi w:val="0"/>
        <w:snapToGrid/>
        <w:spacing w:line="590" w:lineRule="exact"/>
        <w:ind w:left="0" w:leftChars="0" w:right="0" w:rightChars="0" w:firstLine="435"/>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俄国生理学家巴甫洛夫（Ivan Petrovich Pavlov）通过动物实验，在心脏生理、消化生理、高级神经活动方面取得重大成就，获得1904年诺贝尔医学奖。德国科学家科赫（</w:t>
      </w:r>
      <w:r>
        <w:rPr>
          <w:rFonts w:hint="eastAsia" w:ascii="仿宋_GB2312" w:hAnsi="仿宋_GB2312" w:eastAsia="仿宋_GB2312" w:cs="仿宋_GB2312"/>
          <w:sz w:val="32"/>
          <w:szCs w:val="32"/>
        </w:rPr>
        <w:t>Robert Coch</w:t>
      </w:r>
      <w:r>
        <w:rPr>
          <w:rFonts w:hint="eastAsia" w:ascii="仿宋_GB2312" w:hAnsi="仿宋_GB2312" w:eastAsia="仿宋_GB2312" w:cs="仿宋_GB2312"/>
          <w:color w:val="000000"/>
          <w:sz w:val="32"/>
          <w:szCs w:val="32"/>
        </w:rPr>
        <w:t>）通过对牛、羊疾病的研究，发现了结核杆菌，提出了细菌与疾病之间关系的科赫原则，获得1905年诺贝尔医学奖。1913年，法国科学家查尔斯·罗伯特·里谢(</w:t>
      </w:r>
      <w:r>
        <w:rPr>
          <w:rFonts w:hint="eastAsia" w:ascii="仿宋_GB2312" w:hAnsi="仿宋_GB2312" w:eastAsia="仿宋_GB2312" w:cs="仿宋_GB2312"/>
          <w:sz w:val="32"/>
          <w:szCs w:val="32"/>
        </w:rPr>
        <w:t>Charles Robert Richet</w:t>
      </w:r>
      <w:r>
        <w:rPr>
          <w:rFonts w:hint="eastAsia" w:ascii="仿宋_GB2312" w:hAnsi="仿宋_GB2312" w:eastAsia="仿宋_GB2312" w:cs="仿宋_GB2312"/>
          <w:color w:val="000000"/>
          <w:sz w:val="32"/>
          <w:szCs w:val="32"/>
        </w:rPr>
        <w:t>)利用犬做实验，发现了机体对某种抗原物质的特异反应而获诺贝尔生理或医学奖。美国科学家卡佩基（</w:t>
      </w:r>
      <w:r>
        <w:rPr>
          <w:rFonts w:hint="eastAsia" w:ascii="仿宋_GB2312" w:hAnsi="仿宋_GB2312" w:eastAsia="仿宋_GB2312" w:cs="仿宋_GB2312"/>
          <w:sz w:val="32"/>
          <w:szCs w:val="32"/>
        </w:rPr>
        <w:t>Mario Capecchi）和史密斯(Oliver Smithies )、英国科学家埃文斯(Sir Martin John Evans)利用小鼠进行基因打靶技术研究获得2007年</w:t>
      </w:r>
      <w:r>
        <w:rPr>
          <w:rFonts w:hint="eastAsia" w:ascii="仿宋_GB2312" w:hAnsi="仿宋_GB2312" w:eastAsia="仿宋_GB2312" w:cs="仿宋_GB2312"/>
          <w:color w:val="000000"/>
          <w:sz w:val="32"/>
          <w:szCs w:val="32"/>
        </w:rPr>
        <w:t>诺贝尔生理或医学奖……证明了实验动物在生命科学研究中的重要作用。</w:t>
      </w:r>
    </w:p>
    <w:p>
      <w:pPr>
        <w:keepNext w:val="0"/>
        <w:keepLines w:val="0"/>
        <w:pageBreakBefore w:val="0"/>
        <w:widowControl w:val="0"/>
        <w:kinsoku/>
        <w:wordWrap/>
        <w:overflowPunct/>
        <w:topLinePunct w:val="0"/>
        <w:bidi w:val="0"/>
        <w:snapToGrid/>
        <w:spacing w:line="590" w:lineRule="exact"/>
        <w:ind w:left="0" w:leftChars="0" w:right="0" w:rightChars="0" w:firstLine="42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2020年初，新型冠状病毒（2019-nCoV）开始在全球肆虐。人类对这个全新的病毒有太多的疑问，病毒入侵人体会带来怎样的机体免疫反应？它的复制规律、病理发生过程是怎样的？……所有这些疑问，是药物和疫苗研发的基础问题，都需要借助动物模型去研究。我国科学家短时间内创建了转基因小鼠模型和恒河猴模型，对多种候选药物和疫苗进行安全性和有效性评价，为防控新型冠状病毒肺炎疫情做出重要贡献。</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3实验动物在生命科学研究领域的应用</w:t>
      </w:r>
    </w:p>
    <w:p>
      <w:pPr>
        <w:keepNext w:val="0"/>
        <w:keepLines w:val="0"/>
        <w:pageBreakBefore w:val="0"/>
        <w:widowControl w:val="0"/>
        <w:kinsoku/>
        <w:wordWrap/>
        <w:overflowPunct/>
        <w:topLinePunct w:val="0"/>
        <w:bidi w:val="0"/>
        <w:snapToGrid/>
        <w:spacing w:line="590" w:lineRule="exact"/>
        <w:ind w:left="0" w:leftChars="0" w:right="0" w:rightChars="0" w:firstLine="420" w:firstLineChars="200"/>
        <w:textAlignment w:val="auto"/>
        <w:outlineLvl w:val="9"/>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实验动物科学的应用价值涉及许多领域，是现代科研工作不可或缺的基础条件。包括但不限于以下领域：</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3.1免疫学研究。实验动物具有许多与人相似的免疫性疾病，如狗的花粉病、新西兰小黑鼠的红斑狼疮、水貂的阿留申病等，科学家利用实验动物来研究免疫的机理、免疫应答和影响免疫的因素等。</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药品与生物制品安全性有效性评价。在药物和生物制品研发阶段，实验动物在疗效、量效关系、动力学特征的判断或确证方面起到关键性作用。新药必须通过大量的动物实验进行安全性有效性评价，包括急性、亚急性及慢性试验、三致试验（致畸、致癌、致突变）等</w:t>
      </w:r>
      <w:r>
        <w:rPr>
          <w:rFonts w:hint="eastAsia" w:ascii="仿宋_GB2312" w:hAnsi="仿宋_GB2312" w:eastAsia="仿宋_GB2312" w:cs="仿宋_GB2312"/>
          <w:sz w:val="32"/>
          <w:szCs w:val="32"/>
        </w:rPr>
        <w:t>；实验动物是生物制品生产的原料，如地鼠肾制备乙脑及狂犬疫苗、SPF鸡胚制备麻疹疫苗等</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3.3肿瘤学研究。</w:t>
      </w:r>
      <w:r>
        <w:rPr>
          <w:rFonts w:hint="eastAsia" w:ascii="仿宋_GB2312" w:hAnsi="仿宋_GB2312" w:eastAsia="仿宋_GB2312" w:cs="仿宋_GB2312"/>
          <w:sz w:val="32"/>
          <w:szCs w:val="32"/>
        </w:rPr>
        <w:t>人源肿瘤异种移植（Patient-derived tumor xenograft, PDX）模型，是将临床患者的肿瘤组织、原代细胞植入免疫缺陷鼠的体内形成的移植瘤模型，是肿瘤研究重要的生物资源，应用于肿瘤新药研发、</w:t>
      </w:r>
      <w:r>
        <w:rPr>
          <w:rFonts w:hint="eastAsia" w:ascii="仿宋_GB2312" w:hAnsi="仿宋_GB2312" w:eastAsia="仿宋_GB2312" w:cs="仿宋_GB2312"/>
          <w:color w:val="000000"/>
          <w:sz w:val="32"/>
          <w:szCs w:val="32"/>
        </w:rPr>
        <w:t>药物筛选</w:t>
      </w:r>
      <w:r>
        <w:rPr>
          <w:rFonts w:hint="eastAsia" w:ascii="仿宋_GB2312" w:hAnsi="仿宋_GB2312" w:eastAsia="仿宋_GB2312" w:cs="仿宋_GB2312"/>
          <w:sz w:val="32"/>
          <w:szCs w:val="32"/>
        </w:rPr>
        <w:t>和发病机理等研究领域。</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b w:val="0"/>
          <w:bCs w:val="0"/>
          <w:color w:val="000000"/>
          <w:sz w:val="32"/>
          <w:szCs w:val="32"/>
        </w:rPr>
        <w:t>3.4传染性疾病研究</w:t>
      </w:r>
      <w:r>
        <w:rPr>
          <w:rFonts w:hint="eastAsia" w:ascii="仿宋_GB2312" w:hAnsi="仿宋_GB2312" w:eastAsia="仿宋_GB2312" w:cs="仿宋_GB2312"/>
          <w:b/>
          <w:bCs/>
          <w:color w:val="000000"/>
          <w:sz w:val="32"/>
          <w:szCs w:val="32"/>
          <w:lang w:val="en-US" w:eastAsia="zh-CN"/>
        </w:rPr>
        <w:t xml:space="preserve"> </w:t>
      </w:r>
      <w:r>
        <w:rPr>
          <w:rFonts w:hint="eastAsia" w:ascii="仿宋_GB2312" w:hAnsi="仿宋_GB2312" w:eastAsia="仿宋_GB2312" w:cs="仿宋_GB2312"/>
          <w:color w:val="000000"/>
          <w:sz w:val="32"/>
          <w:szCs w:val="32"/>
        </w:rPr>
        <w:t>通过筛选出的易感动物模型，研究传染病的病因、发病机理和有效的治疗措施、防控策略。</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3.5临床医学技术和外科学研究。各种临床技术、外科技术如胃肠造影、超声波诊断、放射性治疗、脑外科、心外科、断肢再植、器官或组织移植等都是基于动物试验成功后再应用到临床。</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4实验室感染案例回顾</w:t>
      </w:r>
    </w:p>
    <w:p>
      <w:pPr>
        <w:keepNext w:val="0"/>
        <w:keepLines w:val="0"/>
        <w:pageBreakBefore w:val="0"/>
        <w:widowControl w:val="0"/>
        <w:kinsoku/>
        <w:wordWrap/>
        <w:overflowPunct/>
        <w:topLinePunct w:val="0"/>
        <w:bidi w:val="0"/>
        <w:snapToGrid/>
        <w:spacing w:line="590" w:lineRule="exact"/>
        <w:ind w:left="0" w:leftChars="0"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由于特殊身份，实验动物难免成为生物安全领域被关注的焦点。如果管理不善、技术操作不当，不仅导致实验动物疾病甚至人畜共患性疾病，还会引发病原微生物泄露，造成生物安全事故。</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4.1德国马尔堡病毒感染事件。1967年8月，德国一实验室人员进行脊髓灰质炎疫苗研究，接触和处理了来自乌干达绿猴脏器而引起马尔堡病毒感染，导致37人感染，9人死亡。</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4.2上海某医院实验室感染流行性出血热事件。1991年4月，上海某医院科研人员从疫区采购大鼠且未经检疫就进行实验，感染流行性出血热。</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4.3东北某大学教师、学生感染布病事件。2010年12月，东北某大学由于相关老师在实验中使用了未经检疫的山羊，引起27名学生和1名教师感染布鲁氏菌病。</w:t>
      </w:r>
    </w:p>
    <w:p>
      <w:pPr>
        <w:keepNext w:val="0"/>
        <w:keepLines w:val="0"/>
        <w:pageBreakBefore w:val="0"/>
        <w:widowControl w:val="0"/>
        <w:kinsoku/>
        <w:wordWrap/>
        <w:overflowPunct/>
        <w:topLinePunct w:val="0"/>
        <w:bidi w:val="0"/>
        <w:snapToGrid/>
        <w:spacing w:line="590" w:lineRule="exact"/>
        <w:ind w:left="0" w:leftChars="0"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实表明，实验室感染事故从未远离我们。总结这些案例发现，事故原因与制度不健全、管理不严密、安全意识薄弱、培训不到位、违规操作、心存侥幸密切相关。甚至存在无实验条件、无从业资质、无操作许可等“三无”现象。</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5构建“防火墙”，严防实验动物领域生物安全事件发生</w:t>
      </w:r>
    </w:p>
    <w:p>
      <w:pPr>
        <w:keepNext w:val="0"/>
        <w:keepLines w:val="0"/>
        <w:pageBreakBefore w:val="0"/>
        <w:widowControl w:val="0"/>
        <w:kinsoku/>
        <w:wordWrap/>
        <w:overflowPunct/>
        <w:topLinePunct w:val="0"/>
        <w:bidi w:val="0"/>
        <w:snapToGrid/>
        <w:spacing w:line="590" w:lineRule="exact"/>
        <w:ind w:left="0" w:leftChars="0" w:right="0" w:rightChars="0" w:firstLine="42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面对实验室生物安全事故，我们应该深刻汲取教训，构建“防火墙”，筑牢实验动物研究领域生物安全基石，杜绝此类事故重蹈覆辙。那么，实际工作中，实验室设立单位及研究人员该如何有效防范呢？ </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5.1加强科学管理。加强组织领导，明确部门职责，细化责任到人。严格遵守《病原微生物实验室生物安全管理条例》（国务院第424令）、《实验动物管理条例》（国家科委2号令）等国家相关政策法规，成立实验动物管理委员会（Institutional Animal Care and Use Committee, IACUC），建立健全安全管理规章制度和良好操作技术规范，定期对有关生物安全规定的落实情况进行检查，加强实验动物生物安全管理。</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5.2强化专业技能培训。广大科研工作者充分认识加强实验动物领域生物安全工作对维护国家安全、防范生物安全风险、保障人民生命健康的重要意义，树立安全意识，构建生物安全防控体系。加强基础理论知识、操作技能和生物安全防控等专业技术培训，熟悉实验室技术规范、操作规程、生物安全防护知识和实际操作技能，经考核合格的，方可上岗。</w:t>
      </w: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FF0000"/>
          <w:kern w:val="2"/>
          <w:sz w:val="32"/>
          <w:szCs w:val="32"/>
        </w:rPr>
      </w:pPr>
      <w:r>
        <w:rPr>
          <w:rFonts w:hint="eastAsia" w:ascii="仿宋_GB2312" w:hAnsi="仿宋_GB2312" w:eastAsia="仿宋_GB2312" w:cs="仿宋_GB2312"/>
          <w:color w:val="auto"/>
          <w:kern w:val="2"/>
          <w:sz w:val="32"/>
          <w:szCs w:val="32"/>
        </w:rPr>
        <w:t>5.3规范实验设施建设。常规动物实验室分普通环境、屏障环境和无菌环境，从事动物活体操作的生物安全实验室分ABSL-1、ABSL-2、ABSL-3、ABSL-4（animal bio-safe level，ABSL）四个等级。动物实验室要根据研究的性质和目的，按照《实验动物 环境及设施》（GB14925-2010）、《实验动物设施建筑技术规范》（GB50447-2008）、《实验室生物安全通用要求》（GB19489-2008）、《生物安全实验室建筑技术规范》（GB50346-2011）等技术标准要求进行设计、建设和维护。生物安全动物实验室宜/应实施一级屏障和二级屏障，经过审批（ABSL-3、ABSL-4）或报备（ABSL-1、ABSL-2）后方可投入使用。</w:t>
      </w: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5.4加强实验动物运输与检疫管理。按照“关于善待实验动物的指导性意见”（国科发财字〔2006〕398号）要求，动物运输要遵循最直接途径本着安全、舒适、卫生的原则尽快完成，运输工具要满足动物生物学特性、微生物控制等级和福利要求。动物实验前要经过一定时间的隔离检疫。</w:t>
      </w: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5.5加强过程管理</w:t>
      </w: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5.5.1配备必要的安全设备。如动物隔离器、独立通气隔离笼、生物安全柜、负压解剖台、高压灭菌器、污水处理、废气处理等饲养、操作、废弃物处置设备及消防、急救、通讯、监视等应急器材。</w:t>
      </w: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5.5.2做好个人安全防护。根据不同级别生物安全水平和工作性质来正确选择和使用个人防护装备。了解实验室活动涉及的任何风险，遵守实验室管理规定，严格履行安全作业的技术要求，做好各项工作记录。实施健康体检和健康监测，建立健康档案。必要时，进行预防接种。</w:t>
      </w: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5.5.3常规动物生产、实验项目，以预防动物烈性传染病（如鼠肝炎、小鼠脱脚病等）、人畜共患病（如狂犬病、流行性出血热等）发生为核心。围绕动物的来源、运输、隔离检疫、饲养、试验等开展实验动物工作的方方面面加强日常管理，确保实验动物健康和动物实验结果的准确可靠。</w:t>
      </w: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5.5.4感染性动物实验等特殊研究项目，以预防人员、环境不受安全威胁为重点。从事病原微生物实验活动应在相应等级的生物安全实验室进行。从事高致病性病原微生物或者疑似高致病性病原微生物实验活动的，应当报省级以上人民政府卫生主管部门或者兽医主管部门批准。实验过程应避免吸入接种、解剖、取材、检验等操作及动物毛发、呼吸、排泄产生的气溶胶，被动物抓伤或咬伤，被尖锐实验器械刺伤，动物麻醉不当引起伤害等，有可靠措施防止动物逃逸，野鼠、昆虫进入设施，病原泄露与扩散引发交叉感染。</w:t>
      </w: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5.5.5加强消毒/灭菌处理。实验过程及实验完毕，对实验室空气或物品表面进行预防性消毒；接受病原体感染、染毒、放射性实验的实验动物尸体和废弃物及感染性器具、材料、个人防护装备等在移出实验室前必须经过高压灭菌，再交由具备《危险废物经营许可证》资质且核准经营危险废物类别相符的单位集中无害化处理。排出的废气、废水应进行过滤、灭活处理；定期对动物笼具进行清洗、消毒。</w:t>
      </w: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5.6妥善安置实验后实验动物。实验结束，动物体内可能还残留着生物试剂，应及时进行无害化处理，严禁流入市场，严禁摆上百姓餐桌。</w:t>
      </w: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5.7加强病原微生物菌（毒）种和样本的保藏与运输管理。保藏机构应制定严格的安全保管制度，做好进出和储存的记录，建立档案制度，并指定专人负责。对高致病性病原微生物菌（毒）种和样本应当设专库或者专柜单独储存。实验活动结束后，及时将病原微生物菌（毒）种和样本就地销毁或送交保藏机构保管。病原微生物菌（毒）种和样本的运输应符合国务院卫生主管部门或者兽医主管部门的相关规定。</w:t>
      </w: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5.8制定实验室感染应急处置预案。贯彻 “预防为主”的方针，指导和规范实验动物生物安全工作，发挥其对科学研究、产品检验和经济建设的支撑作用，制定实验室感染应急处置预案，定期开展风险评估和应急演练。</w:t>
      </w: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auto"/>
          <w:kern w:val="2"/>
          <w:sz w:val="32"/>
          <w:szCs w:val="32"/>
        </w:rPr>
      </w:pP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auto"/>
          <w:kern w:val="2"/>
          <w:sz w:val="32"/>
          <w:szCs w:val="32"/>
        </w:rPr>
      </w:pP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auto"/>
          <w:kern w:val="2"/>
          <w:sz w:val="32"/>
          <w:szCs w:val="32"/>
        </w:rPr>
      </w:pP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auto"/>
          <w:kern w:val="2"/>
          <w:sz w:val="32"/>
          <w:szCs w:val="32"/>
        </w:rPr>
      </w:pP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auto"/>
          <w:kern w:val="2"/>
          <w:sz w:val="32"/>
          <w:szCs w:val="32"/>
        </w:rPr>
      </w:pP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auto"/>
          <w:kern w:val="2"/>
          <w:sz w:val="32"/>
          <w:szCs w:val="32"/>
        </w:rPr>
      </w:pPr>
    </w:p>
    <w:p>
      <w:pPr>
        <w:pStyle w:val="13"/>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auto"/>
          <w:kern w:val="2"/>
          <w:sz w:val="32"/>
          <w:szCs w:val="32"/>
        </w:rPr>
      </w:pP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附</w:t>
      </w:r>
      <w:r>
        <w:rPr>
          <w:rFonts w:hint="eastAsia" w:ascii="仿宋_GB2312" w:hAnsi="仿宋_GB2312" w:eastAsia="仿宋_GB2312" w:cs="仿宋_GB2312"/>
          <w:b/>
          <w:sz w:val="32"/>
          <w:szCs w:val="32"/>
        </w:rPr>
        <w:t>选择题</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color w:val="000000" w:themeColor="text1"/>
          <w:sz w:val="32"/>
          <w:szCs w:val="32"/>
          <w:highlight w:val="none"/>
          <w:shd w:val="clear" w:color="FFFFFF" w:fill="D9D9D9"/>
        </w:rPr>
      </w:pPr>
      <w:r>
        <w:rPr>
          <w:rFonts w:hint="eastAsia" w:ascii="仿宋_GB2312" w:hAnsi="仿宋_GB2312" w:eastAsia="仿宋_GB2312" w:cs="仿宋_GB2312"/>
          <w:color w:val="000000" w:themeColor="text1"/>
          <w:sz w:val="32"/>
          <w:szCs w:val="32"/>
          <w:highlight w:val="none"/>
          <w:shd w:val="clear" w:color="FFFFFF" w:fill="D9D9D9"/>
        </w:rPr>
        <w:t>1、实验动物具有以下哪些特点：（ ）</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A、遗传限定                              B、来源清楚 </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C、对携带的微生物、寄生虫进行人工控制     D、用于科学实验</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2、地鼠肾细胞可以制备的疫苗有（</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A、流感疫苗                              B、狂犬疫苗</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C、乙脑疫苗</w:t>
      </w:r>
      <w:r>
        <w:rPr>
          <w:rFonts w:hint="eastAsia" w:ascii="仿宋_GB2312" w:hAnsi="仿宋_GB2312" w:eastAsia="仿宋_GB2312" w:cs="仿宋_GB2312"/>
          <w:color w:val="FF0000"/>
          <w:sz w:val="32"/>
          <w:szCs w:val="32"/>
          <w:highlight w:val="none"/>
        </w:rPr>
        <w:t xml:space="preserve">                              </w:t>
      </w:r>
      <w:r>
        <w:rPr>
          <w:rFonts w:hint="eastAsia" w:ascii="仿宋_GB2312" w:hAnsi="仿宋_GB2312" w:eastAsia="仿宋_GB2312" w:cs="仿宋_GB2312"/>
          <w:sz w:val="32"/>
          <w:szCs w:val="32"/>
          <w:highlight w:val="none"/>
        </w:rPr>
        <w:t>D、麻疹疫苗</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3、生物安全动物实验室分哪些等级（</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A、ABSL-1                                  B、ABSL-2</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C、ABSL-3                                  D、ABSL-4</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4、设计生物安全动物实验设施引用的国家标准有哪些（</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A、GB14925-2010                       B、GB50447-2008</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C、GB19489-2008                 </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 xml:space="preserve">     D、GB50346-2011</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5、哪几类生物安全动物实验室应当通过实验室国家认可（</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A、ABSL-1                                  B、ABSL-2</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C、ABSL-3                                  D、ABSL-4</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6、哪些动物实验操作会产生气溶胶？（</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A、染毒                       B、接种                  C、解剖</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D、采样                    E、诊断</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w:t>
      </w:r>
      <w:r>
        <w:rPr>
          <w:rFonts w:hint="eastAsia" w:ascii="仿宋_GB2312" w:hAnsi="仿宋_GB2312" w:eastAsia="仿宋_GB2312" w:cs="仿宋_GB2312"/>
          <w:color w:val="333333"/>
          <w:sz w:val="32"/>
          <w:szCs w:val="32"/>
          <w:highlight w:val="none"/>
          <w:shd w:val="clear" w:color="auto" w:fill="FFFFFF"/>
        </w:rPr>
        <w:t>第三类</w:t>
      </w:r>
      <w:r>
        <w:rPr>
          <w:rFonts w:hint="eastAsia" w:ascii="仿宋_GB2312" w:hAnsi="仿宋_GB2312" w:eastAsia="仿宋_GB2312" w:cs="仿宋_GB2312"/>
          <w:sz w:val="32"/>
          <w:szCs w:val="32"/>
          <w:highlight w:val="none"/>
        </w:rPr>
        <w:t>病原微生物具备的特点有（</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A、</w:t>
      </w:r>
      <w:r>
        <w:rPr>
          <w:rFonts w:hint="eastAsia" w:ascii="仿宋_GB2312" w:hAnsi="仿宋_GB2312" w:eastAsia="仿宋_GB2312" w:cs="仿宋_GB2312"/>
          <w:color w:val="333333"/>
          <w:sz w:val="32"/>
          <w:szCs w:val="32"/>
          <w:highlight w:val="none"/>
          <w:shd w:val="clear" w:color="auto" w:fill="FFFFFF"/>
        </w:rPr>
        <w:t>能引发疾病</w:t>
      </w:r>
      <w:r>
        <w:rPr>
          <w:rFonts w:hint="eastAsia" w:ascii="仿宋_GB2312" w:hAnsi="仿宋_GB2312" w:eastAsia="仿宋_GB2312" w:cs="仿宋_GB2312"/>
          <w:sz w:val="32"/>
          <w:szCs w:val="32"/>
          <w:highlight w:val="none"/>
        </w:rPr>
        <w:t xml:space="preserve">                          B、</w:t>
      </w:r>
      <w:r>
        <w:rPr>
          <w:rFonts w:hint="eastAsia" w:ascii="仿宋_GB2312" w:hAnsi="仿宋_GB2312" w:eastAsia="仿宋_GB2312" w:cs="仿宋_GB2312"/>
          <w:color w:val="333333"/>
          <w:sz w:val="32"/>
          <w:szCs w:val="32"/>
          <w:highlight w:val="none"/>
          <w:shd w:val="clear" w:color="auto" w:fill="FFFFFF"/>
        </w:rPr>
        <w:t>传播风险</w:t>
      </w:r>
      <w:r>
        <w:rPr>
          <w:rFonts w:hint="eastAsia" w:ascii="仿宋_GB2312" w:hAnsi="仿宋_GB2312" w:eastAsia="仿宋_GB2312" w:cs="仿宋_GB2312"/>
          <w:sz w:val="32"/>
          <w:szCs w:val="32"/>
          <w:highlight w:val="none"/>
        </w:rPr>
        <w:t>大</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C、危害严重                            D、可有效治疗</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8、生物安全动物实验室配备的安全设备有（</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A、独立通气隔离笼             B、生物安全柜            C、超净工作台</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D、高压灭菌器                 E、以上都是</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9、三级生物安全实验室应实施（</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A、一级屏障                              B、二级屏障</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C、三级屏障                     </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 xml:space="preserve">        D、四级屏障</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10、《中华人民共和国生物安全法》施行时间是（</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A、2021年2月15 日               B、2021年3月15日</w:t>
      </w:r>
    </w:p>
    <w:p>
      <w:pPr>
        <w:keepNext w:val="0"/>
        <w:keepLines w:val="0"/>
        <w:pageBreakBefore w:val="0"/>
        <w:widowControl w:val="0"/>
        <w:kinsoku/>
        <w:wordWrap/>
        <w:overflowPunct/>
        <w:topLinePunct w:val="0"/>
        <w:bidi w:val="0"/>
        <w:snapToGrid/>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C、2021年4月15日               D、2021年5月15日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878D9"/>
    <w:rsid w:val="00003785"/>
    <w:rsid w:val="000112C7"/>
    <w:rsid w:val="0004414A"/>
    <w:rsid w:val="00063144"/>
    <w:rsid w:val="00072A44"/>
    <w:rsid w:val="00086483"/>
    <w:rsid w:val="000A5A97"/>
    <w:rsid w:val="000B22AA"/>
    <w:rsid w:val="000C6C51"/>
    <w:rsid w:val="000D1CB4"/>
    <w:rsid w:val="000E7D75"/>
    <w:rsid w:val="0010530D"/>
    <w:rsid w:val="00106E34"/>
    <w:rsid w:val="00111770"/>
    <w:rsid w:val="00131FF0"/>
    <w:rsid w:val="00142B11"/>
    <w:rsid w:val="00153BEA"/>
    <w:rsid w:val="00154DCB"/>
    <w:rsid w:val="00185127"/>
    <w:rsid w:val="001B7F3F"/>
    <w:rsid w:val="001C78F1"/>
    <w:rsid w:val="001E0E1D"/>
    <w:rsid w:val="001E6693"/>
    <w:rsid w:val="00200E57"/>
    <w:rsid w:val="0021175B"/>
    <w:rsid w:val="002171FA"/>
    <w:rsid w:val="00231388"/>
    <w:rsid w:val="00284967"/>
    <w:rsid w:val="002A1439"/>
    <w:rsid w:val="002B0A0A"/>
    <w:rsid w:val="002D370E"/>
    <w:rsid w:val="002D6FF1"/>
    <w:rsid w:val="002E442C"/>
    <w:rsid w:val="00311830"/>
    <w:rsid w:val="00314F45"/>
    <w:rsid w:val="00327046"/>
    <w:rsid w:val="003363C2"/>
    <w:rsid w:val="00346A4A"/>
    <w:rsid w:val="003842B0"/>
    <w:rsid w:val="003C0514"/>
    <w:rsid w:val="003D7D58"/>
    <w:rsid w:val="003F54A6"/>
    <w:rsid w:val="00412ECA"/>
    <w:rsid w:val="0041588E"/>
    <w:rsid w:val="004160BA"/>
    <w:rsid w:val="00425C62"/>
    <w:rsid w:val="00475BCD"/>
    <w:rsid w:val="004A71DA"/>
    <w:rsid w:val="004C33EC"/>
    <w:rsid w:val="004E5D05"/>
    <w:rsid w:val="004F6C18"/>
    <w:rsid w:val="00523A3A"/>
    <w:rsid w:val="00525CDD"/>
    <w:rsid w:val="00526E79"/>
    <w:rsid w:val="00550003"/>
    <w:rsid w:val="0057292D"/>
    <w:rsid w:val="005814F8"/>
    <w:rsid w:val="005817D9"/>
    <w:rsid w:val="005B410F"/>
    <w:rsid w:val="005C5713"/>
    <w:rsid w:val="005D0B78"/>
    <w:rsid w:val="005D3C6E"/>
    <w:rsid w:val="005E329B"/>
    <w:rsid w:val="00611D4A"/>
    <w:rsid w:val="006140EA"/>
    <w:rsid w:val="00636810"/>
    <w:rsid w:val="00637F45"/>
    <w:rsid w:val="006427AA"/>
    <w:rsid w:val="006446C9"/>
    <w:rsid w:val="00665C49"/>
    <w:rsid w:val="00672D66"/>
    <w:rsid w:val="00677E33"/>
    <w:rsid w:val="006A3380"/>
    <w:rsid w:val="006B2DDE"/>
    <w:rsid w:val="006C0044"/>
    <w:rsid w:val="006E4A01"/>
    <w:rsid w:val="006E64A2"/>
    <w:rsid w:val="006F0327"/>
    <w:rsid w:val="0072090C"/>
    <w:rsid w:val="00743D5B"/>
    <w:rsid w:val="0075528A"/>
    <w:rsid w:val="00766DA9"/>
    <w:rsid w:val="00770986"/>
    <w:rsid w:val="00773798"/>
    <w:rsid w:val="0077510D"/>
    <w:rsid w:val="007878D9"/>
    <w:rsid w:val="007A3CF4"/>
    <w:rsid w:val="007B43D5"/>
    <w:rsid w:val="007D0E58"/>
    <w:rsid w:val="00800606"/>
    <w:rsid w:val="00821F4D"/>
    <w:rsid w:val="0082402D"/>
    <w:rsid w:val="00825C51"/>
    <w:rsid w:val="00840D8F"/>
    <w:rsid w:val="0084201C"/>
    <w:rsid w:val="00872EB7"/>
    <w:rsid w:val="008B15E2"/>
    <w:rsid w:val="008B71E6"/>
    <w:rsid w:val="008E0CA9"/>
    <w:rsid w:val="00914250"/>
    <w:rsid w:val="0095057C"/>
    <w:rsid w:val="00973FB8"/>
    <w:rsid w:val="00985527"/>
    <w:rsid w:val="00987725"/>
    <w:rsid w:val="009930CA"/>
    <w:rsid w:val="009A4076"/>
    <w:rsid w:val="009B203F"/>
    <w:rsid w:val="009B2EBC"/>
    <w:rsid w:val="009D0198"/>
    <w:rsid w:val="009D0D4C"/>
    <w:rsid w:val="00A02C96"/>
    <w:rsid w:val="00A30D9F"/>
    <w:rsid w:val="00A45BAD"/>
    <w:rsid w:val="00A71CCC"/>
    <w:rsid w:val="00A76732"/>
    <w:rsid w:val="00AB60C8"/>
    <w:rsid w:val="00AC5551"/>
    <w:rsid w:val="00B01AF6"/>
    <w:rsid w:val="00B2342B"/>
    <w:rsid w:val="00B376EA"/>
    <w:rsid w:val="00B37869"/>
    <w:rsid w:val="00B62716"/>
    <w:rsid w:val="00B628EE"/>
    <w:rsid w:val="00BB425A"/>
    <w:rsid w:val="00BE2616"/>
    <w:rsid w:val="00C01B80"/>
    <w:rsid w:val="00C048BF"/>
    <w:rsid w:val="00C16DD3"/>
    <w:rsid w:val="00C208CA"/>
    <w:rsid w:val="00C20B7C"/>
    <w:rsid w:val="00C2226E"/>
    <w:rsid w:val="00C32686"/>
    <w:rsid w:val="00C34F15"/>
    <w:rsid w:val="00C467D5"/>
    <w:rsid w:val="00C73E8D"/>
    <w:rsid w:val="00C96E6E"/>
    <w:rsid w:val="00CB3527"/>
    <w:rsid w:val="00CB677B"/>
    <w:rsid w:val="00CD5A41"/>
    <w:rsid w:val="00D1229C"/>
    <w:rsid w:val="00D2694A"/>
    <w:rsid w:val="00D457A9"/>
    <w:rsid w:val="00D70A7E"/>
    <w:rsid w:val="00D77A57"/>
    <w:rsid w:val="00D85A07"/>
    <w:rsid w:val="00DB5EF8"/>
    <w:rsid w:val="00DD7803"/>
    <w:rsid w:val="00E1304D"/>
    <w:rsid w:val="00E1474B"/>
    <w:rsid w:val="00E147A7"/>
    <w:rsid w:val="00E16E02"/>
    <w:rsid w:val="00E4383E"/>
    <w:rsid w:val="00E43F4F"/>
    <w:rsid w:val="00E44DDD"/>
    <w:rsid w:val="00E50E53"/>
    <w:rsid w:val="00E82D67"/>
    <w:rsid w:val="00E83EC8"/>
    <w:rsid w:val="00E848EF"/>
    <w:rsid w:val="00E85551"/>
    <w:rsid w:val="00E9546C"/>
    <w:rsid w:val="00EA1368"/>
    <w:rsid w:val="00EB2CDD"/>
    <w:rsid w:val="00EC051F"/>
    <w:rsid w:val="00EC508E"/>
    <w:rsid w:val="00EE512D"/>
    <w:rsid w:val="00EE6CA2"/>
    <w:rsid w:val="00EF0465"/>
    <w:rsid w:val="00EF3FC0"/>
    <w:rsid w:val="00F166C5"/>
    <w:rsid w:val="00F31EA1"/>
    <w:rsid w:val="00F3201E"/>
    <w:rsid w:val="00F47133"/>
    <w:rsid w:val="00F473E3"/>
    <w:rsid w:val="00F66721"/>
    <w:rsid w:val="00F741B6"/>
    <w:rsid w:val="00F85579"/>
    <w:rsid w:val="00F91EDF"/>
    <w:rsid w:val="00FA7C68"/>
    <w:rsid w:val="00FC3F38"/>
    <w:rsid w:val="00FD7B14"/>
    <w:rsid w:val="186C2B75"/>
    <w:rsid w:val="1E680EAA"/>
    <w:rsid w:val="2D4D4C5C"/>
    <w:rsid w:val="3ED3719C"/>
    <w:rsid w:val="4D69089E"/>
    <w:rsid w:val="5F433062"/>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5"/>
    <w:unhideWhenUsed/>
    <w:qFormat/>
    <w:uiPriority w:val="99"/>
    <w:pPr>
      <w:ind w:left="100" w:leftChars="2500"/>
    </w:p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Emphasis"/>
    <w:basedOn w:val="6"/>
    <w:qFormat/>
    <w:uiPriority w:val="20"/>
    <w:rPr>
      <w:i/>
      <w:iCs/>
    </w:rPr>
  </w:style>
  <w:style w:type="character" w:customStyle="1" w:styleId="10">
    <w:name w:val="页眉 Char"/>
    <w:basedOn w:val="6"/>
    <w:link w:val="4"/>
    <w:semiHidden/>
    <w:qFormat/>
    <w:uiPriority w:val="99"/>
    <w:rPr>
      <w:sz w:val="18"/>
      <w:szCs w:val="18"/>
    </w:rPr>
  </w:style>
  <w:style w:type="character" w:customStyle="1" w:styleId="11">
    <w:name w:val="页脚 Char"/>
    <w:basedOn w:val="6"/>
    <w:link w:val="3"/>
    <w:semiHidden/>
    <w:qFormat/>
    <w:uiPriority w:val="99"/>
    <w:rPr>
      <w:sz w:val="18"/>
      <w:szCs w:val="18"/>
    </w:rPr>
  </w:style>
  <w:style w:type="paragraph" w:customStyle="1" w:styleId="12">
    <w:name w:val="Char1"/>
    <w:basedOn w:val="1"/>
    <w:semiHidden/>
    <w:qFormat/>
    <w:uiPriority w:val="0"/>
    <w:rPr>
      <w:rFonts w:ascii="Times New Roman" w:hAnsi="Times New Roman" w:eastAsia="宋体" w:cs="Times New Roman"/>
      <w:szCs w:val="24"/>
    </w:rPr>
  </w:style>
  <w:style w:type="paragraph" w:customStyle="1" w:styleId="13">
    <w:name w:val="Default"/>
    <w:uiPriority w:val="0"/>
    <w:pPr>
      <w:widowControl w:val="0"/>
      <w:autoSpaceDE w:val="0"/>
      <w:autoSpaceDN w:val="0"/>
      <w:adjustRightInd w:val="0"/>
    </w:pPr>
    <w:rPr>
      <w:rFonts w:ascii="宋体" w:hAnsi="宋体" w:eastAsia="宋体" w:cs="宋体"/>
      <w:color w:val="000000"/>
      <w:kern w:val="0"/>
      <w:sz w:val="24"/>
      <w:szCs w:val="24"/>
      <w:lang w:val="en-US" w:eastAsia="zh-CN" w:bidi="ar-SA"/>
    </w:rPr>
  </w:style>
  <w:style w:type="paragraph" w:customStyle="1" w:styleId="14">
    <w:name w:val="Char11"/>
    <w:basedOn w:val="1"/>
    <w:semiHidden/>
    <w:qFormat/>
    <w:uiPriority w:val="0"/>
    <w:rPr>
      <w:rFonts w:ascii="Times New Roman" w:hAnsi="Times New Roman" w:eastAsia="宋体" w:cs="Times New Roman"/>
      <w:szCs w:val="24"/>
    </w:rPr>
  </w:style>
  <w:style w:type="character" w:customStyle="1" w:styleId="15">
    <w:name w:val="日期 Char"/>
    <w:basedOn w:val="6"/>
    <w:link w:val="2"/>
    <w:semiHidden/>
    <w:uiPriority w:val="99"/>
  </w:style>
  <w:style w:type="paragraph" w:customStyle="1" w:styleId="16">
    <w:name w:val="Char12"/>
    <w:basedOn w:val="1"/>
    <w:semiHidden/>
    <w:qFormat/>
    <w:uiPriority w:val="0"/>
    <w:rPr>
      <w:rFonts w:ascii="Times New Roman" w:hAnsi="Times New Roman" w:eastAsia="宋体" w:cs="Times New Roman"/>
      <w:szCs w:val="24"/>
    </w:rPr>
  </w:style>
  <w:style w:type="paragraph" w:customStyle="1" w:styleId="17">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
    <w:name w:val="Char13"/>
    <w:basedOn w:val="1"/>
    <w:semiHidden/>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856</Words>
  <Characters>4885</Characters>
  <Lines>40</Lines>
  <Paragraphs>11</Paragraphs>
  <ScaleCrop>false</ScaleCrop>
  <LinksUpToDate>false</LinksUpToDate>
  <CharactersWithSpaces>5730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2021-05-18T07:55:00Z</dcterms:created>
  <dc:creator>翁顺太</dc:creator>
  <cp:lastModifiedBy>lenovo</cp:lastModifiedBy>
  <dcterms:modified xsi:type="dcterms:W3CDTF">2021-06-28T03:02:37Z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